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before="480"/>
        <w:jc w:val="center"/>
      </w:pPr>
      <w:r>
        <w:rPr>
          <w:b/>
          <w:bCs/>
        </w:rPr>
        <w:t xml:space="preserve">SYSTEMATIC REVIEW PROTOCOL</w:t>
      </w:r>
    </w:p>
    <w:p>
      <w:pPr>
        <w:spacing w:after="400"/>
        <w:jc w:val="center"/>
        <w:rPr>
          <w:i/>
          <w:iCs/>
        </w:rPr>
      </w:pPr>
      <w:r>
        <w:t xml:space="preserve">Efficacy and Safety of GLP-1 Receptor Agonists versus Insulin Therapy for Glycemic Control in Adults with Type 2 Diabetes and Chronic Kidney Disease</w:t>
      </w:r>
    </w:p>
    <w:p>
      <w:pPr>
        <w:spacing w:after="60"/>
        <w:jc w:val="center"/>
      </w:pPr>
      <w:r>
        <w:rPr>
          <w:b/>
          <w:bCs/>
        </w:rPr>
        <w:t xml:space="preserve">PROSPERO Registration Number: </w:t>
      </w:r>
      <w:r>
        <w:t xml:space="preserve">[To be assigned on submission]
</w:t>
      </w:r>
    </w:p>
    <w:p>
      <w:pPr>
        <w:spacing w:after="60"/>
        <w:jc w:val="center"/>
      </w:pPr>
      <w:r>
        <w:rPr>
          <w:b/>
          <w:bCs/>
        </w:rPr>
        <w:t xml:space="preserve">Version: </w:t>
      </w:r>
      <w:r>
        <w:t xml:space="preserve">1.0</w:t>
      </w:r>
    </w:p>
    <w:p>
      <w:pPr>
        <w:spacing w:after="60"/>
        <w:jc w:val="center"/>
      </w:pPr>
      <w:r>
        <w:rPr>
          <w:b/>
          <w:bCs/>
        </w:rPr>
        <w:t xml:space="preserve">Date: </w:t>
      </w:r>
      <w:r>
        <w:t xml:space="preserve">[DD Month YYYY]</w:t>
      </w:r>
    </w:p>
    <w:p>
      <w:pPr>
        <w:spacing w:after="600"/>
        <w:jc w:val="center"/>
      </w:pPr>
      <w:r>
        <w:rPr>
          <w:b/>
          <w:bCs/>
        </w:rPr>
        <w:t xml:space="preserve">Reporting guideline: </w:t>
      </w:r>
      <w:r>
        <w:t xml:space="preserve">PRISMA-P 2015</w:t>
      </w:r>
    </w:p>
    <w:p>
      <w:r>
        <w:br w:type="page"/>
      </w:r>
    </w:p>
    <w:p>
      <w:pPr>
        <w:pStyle w:val="Heading2"/>
        <w:spacing w:after="120" w:before="260"/>
      </w:pPr>
      <w:r>
        <w:rPr>
          <w:b/>
          <w:bCs/>
        </w:rPr>
        <w:t xml:space="preserve">1. Administrative Information</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1a. Title</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Full title</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Efficacy and safety of GLP-1 receptor agonists versus insulin therapy for glycemic control in adults with type 2 diabetes and chronic kidney disease: a systematic review and meta-analysis</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Short title / Acronym</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GLP-1 RA vs Insulin in T2DM-CKD: A Systematic Review</w:t>
            </w: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1b. Registration</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Registry</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PROSPERO (International Prospective Register of Systematic Reviews), Centre for Reviews and Dissemination, University of York</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Registration number</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[CRD202XXXXXXX — to be assigned on submission]</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Date of registration</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[Date of PROSPERO submission, prior to title/abstract screening]</w:t>
            </w: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1c. Authors and contributors</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Review team</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80"/>
            </w:pPr>
            <w:r>
              <w:rPr>
                <w:b/>
                <w:bCs/>
              </w:rPr>
              <w:t xml:space="preserve">Lead reviewer / Corresponding author: </w:t>
            </w:r>
            <w:r>
              <w:t xml:space="preserve">[Name, Degree(s)], [Department], [Institution], [City, Country]. Email: [email address]</w:t>
            </w:r>
          </w:p>
          <w:p>
            <w:pPr>
              <w:spacing w:after="80"/>
            </w:pPr>
            <w:r>
              <w:rPr>
                <w:b/>
                <w:bCs/>
              </w:rPr>
              <w:t xml:space="preserve">Co-reviewer 1: </w:t>
            </w:r>
            <w:r>
              <w:t xml:space="preserve">[Name, Degree(s)], [Institution] — title/abstract and full-text screening, data extraction, risk of bias assessment</w:t>
            </w:r>
          </w:p>
          <w:p>
            <w:pPr>
              <w:spacing w:after="80"/>
            </w:pPr>
            <w:r>
              <w:rPr>
                <w:b/>
                <w:bCs/>
              </w:rPr>
              <w:t xml:space="preserve">Information specialist / Librarian: </w:t>
            </w:r>
            <w:r>
              <w:t xml:space="preserve">[Name, Degree(s)], [Institution] — search strategy design, PRESS peer review, grey literature searching</w:t>
            </w:r>
          </w:p>
          <w:p>
            <w:pPr>
              <w:spacing w:after="80"/>
            </w:pPr>
            <w:r>
              <w:rPr>
                <w:b/>
                <w:bCs/>
              </w:rPr>
              <w:t xml:space="preserve">Statistician: </w:t>
            </w:r>
            <w:r>
              <w:t xml:space="preserve">[Name, Degree(s)], [Institution] — meta-analysis methods, heterogeneity analysis</w:t>
            </w:r>
          </w:p>
          <w:p>
            <w:pPr>
              <w:spacing w:after="80"/>
            </w:pPr>
            <w:r>
              <w:rPr>
                <w:b/>
                <w:bCs/>
              </w:rPr>
              <w:t xml:space="preserve">Clinical expert (Endocrinology / Nephrology): </w:t>
            </w:r>
            <w:r>
              <w:t xml:space="preserve">[Name, Degree(s)], [Institution] — protocol review, interpretation of clinical data</w:t>
            </w:r>
          </w:p>
          <w:p>
            <w:pPr>
              <w:spacing w:after="0"/>
            </w:pP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Author contributions</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[To be completed on submission using CRediT taxonomy: e.g., Conceptualization: [Initials]; Methodology: [Initials]; Formal analysis: [Initials] …]</w:t>
            </w: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1d. Amendments</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Protocol amendments</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This is the original protocol (Version 1.0). Any subsequent amendments will be logged below with date, description of change, and rationale, and will be updated in the PROSPERO record.</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Amendment log</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[Version 1.1 — [Date] — [Description of change] — [Rationale] …]</w:t>
            </w: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1e. Support</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Funding source(s)</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[Name of funding body, grant/award number] OR "This review received no external funding."</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Role of funder</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Funders had no role in the design of this protocol, the decision to register, or the preparation of this document.</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Conflicts of interest</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All authors declare no financial or non-financial conflicts of interest relevant to this review. [OR: List any relevant disclosures here.]</w:t>
            </w:r>
          </w:p>
        </w:tc>
      </w:tr>
    </w:tbl>
    <w:p>
      <w:pPr>
        <w:spacing w:after="200"/>
      </w:pPr>
      <w:r>
        <w:t xml:space="preserve"/>
      </w:r>
    </w:p>
    <w:p>
      <w:pPr>
        <w:pStyle w:val="Heading2"/>
        <w:spacing w:after="120" w:before="260"/>
      </w:pPr>
      <w:r>
        <w:rPr>
          <w:b/>
          <w:bCs/>
        </w:rPr>
        <w:t xml:space="preserve">2. Introduction</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2a. Rationale</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Background and clinical context</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80"/>
            </w:pPr>
            <w:r>
              <w:t xml:space="preserve">Type 2 diabetes mellitus (T2DM) affects approximately 537 million adults worldwide and represents the leading cause of chronic kidney disease (CKD), with an estimated 40% of patients with T2DM developing CKD during their lifetime. The coexistence of T2DM and CKD creates a complex therapeutic challenge: reduced renal clearance alters drug pharmacokinetics, heightens the risk of hypoglycemia (particularly with insulin and sulfonylureas), and necessitates close monitoring of glomerular filtration rate (eGFR).</w:t>
            </w:r>
          </w:p>
          <w:p>
            <w:pPr>
              <w:spacing w:after="80"/>
            </w:pPr>
            <w:r>
              <w:t xml:space="preserve">GLP-1 receptor agonists (GLP-1 RAs), including semaglutide, liraglutide, dulaglutide, and exenatide, have emerged as important agents in the management of T2DM, demonstrating HbA1c-lowering efficacy alongside weight reduction, blood pressure reduction, and, critically, evidence of nephroprotective and cardioprotective effects in large cardiovascular outcomes trials (LEADER, SUSTAIN-6, CREDENCE extension analyses). Despite these promising signals, dose adjustments are required for some GLP-1 RAs in advanced CKD, and direct head-to-head comparisons with insulin regimens in patients with CKD stages 3–5 remain heterogeneous in design and inconsistent in conclusions.</w:t>
            </w:r>
          </w:p>
          <w:p>
            <w:pPr>
              <w:spacing w:after="80"/>
            </w:pPr>
            <w:r>
              <w:t xml:space="preserve">Insulin therapy remains the most widely used glucose-lowering agent in CKD due to its renal dose-independence; however, it carries a substantially higher risk of hypoglycemia in this population compared with non-CKD patients, related to reduced renal insulin clearance and impaired gluconeogenesis.</w:t>
            </w:r>
          </w:p>
          <w:p>
            <w:pPr>
              <w:spacing w:after="0"/>
            </w:pP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Evidence gap</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80"/>
            </w:pPr>
            <w:r>
              <w:t xml:space="preserve">A preliminary search of PROSPERO, the Cochrane Database of Systematic Reviews, and MEDLINE conducted in [Month YYYY] identified no current or recently completed systematic review directly comparing GLP-1 RAs with insulin therapy specifically in adults with T2DM and CKD stages 3–5 (non-dialysis). Existing reviews either include the broader T2DM population without CKD stratification, focus on a single GLP-1 RA agent, or combine GLP-1 RA and insulin as adjunctive rather than comparative arms. This review addresses that gap and is designed to inform upcoming updates to the KDIGO Clinical Practice Guideline for Diabetes Management in CKD.</w:t>
            </w:r>
          </w:p>
          <w:p>
            <w:pPr>
              <w:spacing w:after="0"/>
            </w:pP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2b. Objectives</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Primary objective</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80"/>
            </w:pPr>
            <w:r>
              <w:t xml:space="preserve">To evaluate the efficacy of GLP-1 receptor agonists compared with insulin therapy on HbA1c reduction at 6 and 12 months in adults with T2DM and CKD stages 3a–5 (non-dialysis).</w:t>
            </w:r>
          </w:p>
          <w:p>
            <w:pPr>
              <w:spacing w:after="0"/>
            </w:pP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Secondary objectives</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80"/>
            </w:pPr>
            <w:r>
              <w:t xml:space="preserve">To assess between-group differences in:</w:t>
            </w:r>
          </w:p>
          <w:p>
            <w:pPr>
              <w:pStyle w:val="ListParagraph"/>
              <w:numPr>
                <w:ilvl w:val="0"/>
                <w:numId w:val="2"/>
              </w:numPr>
              <w:spacing w:after="40"/>
            </w:pPr>
            <w:r>
              <w:t xml:space="preserve">Body weight (kg) from baseline</w:t>
            </w:r>
          </w:p>
          <w:p>
            <w:pPr>
              <w:pStyle w:val="ListParagraph"/>
              <w:numPr>
                <w:ilvl w:val="0"/>
                <w:numId w:val="2"/>
              </w:numPr>
              <w:spacing w:after="40"/>
            </w:pPr>
            <w:r>
              <w:t xml:space="preserve">Systolic blood pressure (mmHg) from baseline</w:t>
            </w:r>
          </w:p>
          <w:p>
            <w:pPr>
              <w:pStyle w:val="ListParagraph"/>
              <w:numPr>
                <w:ilvl w:val="0"/>
                <w:numId w:val="2"/>
              </w:numPr>
              <w:spacing w:after="40"/>
            </w:pPr>
            <w:r>
              <w:t xml:space="preserve">eGFR trajectory (mL/min/1.73 m²) from baseline</w:t>
            </w:r>
          </w:p>
          <w:p>
            <w:pPr>
              <w:pStyle w:val="ListParagraph"/>
              <w:numPr>
                <w:ilvl w:val="0"/>
                <w:numId w:val="2"/>
              </w:numPr>
              <w:spacing w:after="40"/>
            </w:pPr>
            <w:r>
              <w:t xml:space="preserve">Incidence of any and severe hypoglycemic episodes</w:t>
            </w:r>
          </w:p>
          <w:p>
            <w:pPr>
              <w:pStyle w:val="ListParagraph"/>
              <w:numPr>
                <w:ilvl w:val="0"/>
                <w:numId w:val="2"/>
              </w:numPr>
              <w:spacing w:after="40"/>
            </w:pPr>
            <w:r>
              <w:t xml:space="preserve">Incidence of serious adverse events (SAEs)</w:t>
            </w:r>
          </w:p>
          <w:p>
            <w:pPr>
              <w:pStyle w:val="ListParagraph"/>
              <w:numPr>
                <w:ilvl w:val="0"/>
                <w:numId w:val="2"/>
              </w:numPr>
              <w:spacing w:after="40"/>
            </w:pPr>
            <w:r>
              <w:t xml:space="preserve">Urine albumin-to-creatinine ratio (UACR) from baseline</w:t>
            </w:r>
          </w:p>
          <w:p>
            <w:pPr>
              <w:pStyle w:val="ListParagraph"/>
              <w:numPr>
                <w:ilvl w:val="0"/>
                <w:numId w:val="2"/>
              </w:numPr>
              <w:spacing w:after="40"/>
            </w:pPr>
            <w:r>
              <w:t xml:space="preserve">All-cause mortality and cardiovascular mortality</w:t>
            </w:r>
          </w:p>
          <w:p>
            <w:pPr>
              <w:spacing w:after="0"/>
            </w:pPr>
          </w:p>
        </w:tc>
      </w:tr>
    </w:tbl>
    <w:p>
      <w:pPr>
        <w:spacing w:after="200"/>
      </w:pPr>
      <w:r>
        <w:t xml:space="preserve"/>
      </w:r>
    </w:p>
    <w:p>
      <w:pPr>
        <w:pStyle w:val="Heading2"/>
        <w:spacing w:after="120" w:before="260"/>
      </w:pPr>
      <w:r>
        <w:rPr>
          <w:b/>
          <w:bCs/>
        </w:rPr>
        <w:t xml:space="preserve">3. Methods</w:t>
      </w:r>
    </w:p>
    <w:p>
      <w:pPr>
        <w:spacing w:after="120"/>
      </w:pPr>
      <w:r>
        <w:t xml:space="preserve"/>
      </w:r>
    </w:p>
    <w:p>
      <w:pPr>
        <w:pStyle w:val="Heading3"/>
        <w:spacing w:after="80" w:before="200"/>
      </w:pPr>
      <w:r>
        <w:rPr>
          <w:b/>
          <w:bCs/>
        </w:rPr>
        <w:t xml:space="preserve">3a. Eligibility Criteria (PICOS)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Population (P)</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Inclusion</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80"/>
            </w:pPr>
            <w:r>
              <w:t xml:space="preserve">Adults aged ≥18 years with:</w:t>
            </w:r>
          </w:p>
          <w:p>
            <w:pPr>
              <w:pStyle w:val="ListParagraph"/>
              <w:numPr>
                <w:ilvl w:val="0"/>
                <w:numId w:val="2"/>
              </w:numPr>
              <w:spacing w:after="40"/>
            </w:pPr>
            <w:r>
              <w:t xml:space="preserve">A confirmed diagnosis of type 2 diabetes mellitus (ICD-10: E11 or equivalent), regardless of diabetes duration</w:t>
            </w:r>
          </w:p>
          <w:p>
            <w:pPr>
              <w:pStyle w:val="ListParagraph"/>
              <w:numPr>
                <w:ilvl w:val="0"/>
                <w:numId w:val="2"/>
              </w:numPr>
              <w:spacing w:after="40"/>
            </w:pPr>
            <w:r>
              <w:t xml:space="preserve">Chronic kidney disease stages 3a, 3b, 4, or 5 (non-dialysis), defined as eGFR &lt;60 mL/min/1.73 m² by CKD-EPI or MDRD equation, sustained for ≥3 months</w:t>
            </w:r>
          </w:p>
          <w:p>
            <w:pPr>
              <w:pStyle w:val="ListParagraph"/>
              <w:numPr>
                <w:ilvl w:val="0"/>
                <w:numId w:val="2"/>
              </w:numPr>
              <w:spacing w:after="40"/>
            </w:pPr>
            <w:r>
              <w:t xml:space="preserve">Any prior or current glucose-lowering medication history</w:t>
            </w:r>
          </w:p>
          <w:p>
            <w:pPr>
              <w:spacing w:after="0"/>
            </w:pP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Exclusion</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pStyle w:val="ListParagraph"/>
              <w:numPr>
                <w:ilvl w:val="0"/>
                <w:numId w:val="2"/>
              </w:numPr>
              <w:spacing w:after="40"/>
            </w:pPr>
            <w:r>
              <w:t xml:space="preserve">Type 1 diabetes, gestational diabetes, or monogenic (MODY) diabetes</w:t>
            </w:r>
          </w:p>
          <w:p>
            <w:pPr>
              <w:pStyle w:val="ListParagraph"/>
              <w:numPr>
                <w:ilvl w:val="0"/>
                <w:numId w:val="2"/>
              </w:numPr>
              <w:spacing w:after="40"/>
            </w:pPr>
            <w:r>
              <w:t xml:space="preserve">Dialysis-dependent patients (CKD stage 5D: hemodialysis or peritoneal dialysis)</w:t>
            </w:r>
          </w:p>
          <w:p>
            <w:pPr>
              <w:pStyle w:val="ListParagraph"/>
              <w:numPr>
                <w:ilvl w:val="0"/>
                <w:numId w:val="2"/>
              </w:numPr>
              <w:spacing w:after="40"/>
            </w:pPr>
            <w:r>
              <w:t xml:space="preserve">Kidney transplant recipients</w:t>
            </w:r>
          </w:p>
          <w:p>
            <w:pPr>
              <w:pStyle w:val="ListParagraph"/>
              <w:numPr>
                <w:ilvl w:val="0"/>
                <w:numId w:val="2"/>
              </w:numPr>
              <w:spacing w:after="40"/>
            </w:pPr>
            <w:r>
              <w:t xml:space="preserve">Participants with eGFR ≥60 mL/min/1.73 m² at baseline</w:t>
            </w:r>
          </w:p>
          <w:p>
            <w:pPr>
              <w:spacing w:after="0"/>
            </w:pP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Intervention (I)</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GLP-1 receptor agonist</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80"/>
            </w:pPr>
            <w:r>
              <w:t xml:space="preserve">Any approved GLP-1 RA agent administered at any licensed dose, frequency, and route (subcutaneous or oral), as monotherapy or add-on to other non-insulin glucose-lowering therapy. Agents include (but are not limited to):</w:t>
            </w:r>
          </w:p>
          <w:p>
            <w:pPr>
              <w:pStyle w:val="ListParagraph"/>
              <w:numPr>
                <w:ilvl w:val="0"/>
                <w:numId w:val="2"/>
              </w:numPr>
              <w:spacing w:after="40"/>
            </w:pPr>
            <w:r>
              <w:t xml:space="preserve">Semaglutide (subcutaneous or oral)</w:t>
            </w:r>
          </w:p>
          <w:p>
            <w:pPr>
              <w:pStyle w:val="ListParagraph"/>
              <w:numPr>
                <w:ilvl w:val="0"/>
                <w:numId w:val="2"/>
              </w:numPr>
              <w:spacing w:after="40"/>
            </w:pPr>
            <w:r>
              <w:t xml:space="preserve">Liraglutide</w:t>
            </w:r>
          </w:p>
          <w:p>
            <w:pPr>
              <w:pStyle w:val="ListParagraph"/>
              <w:numPr>
                <w:ilvl w:val="0"/>
                <w:numId w:val="2"/>
              </w:numPr>
              <w:spacing w:after="40"/>
            </w:pPr>
            <w:r>
              <w:t xml:space="preserve">Dulaglutide</w:t>
            </w:r>
          </w:p>
          <w:p>
            <w:pPr>
              <w:pStyle w:val="ListParagraph"/>
              <w:numPr>
                <w:ilvl w:val="0"/>
                <w:numId w:val="2"/>
              </w:numPr>
              <w:spacing w:after="40"/>
            </w:pPr>
            <w:r>
              <w:t xml:space="preserve">Exenatide (immediate-release or extended-release)</w:t>
            </w:r>
          </w:p>
          <w:p>
            <w:pPr>
              <w:pStyle w:val="ListParagraph"/>
              <w:numPr>
                <w:ilvl w:val="0"/>
                <w:numId w:val="2"/>
              </w:numPr>
              <w:spacing w:after="40"/>
            </w:pPr>
            <w:r>
              <w:t xml:space="preserve">Tirzepatide (dual GIP/GLP-1 RA)</w:t>
            </w:r>
          </w:p>
          <w:p>
            <w:pPr>
              <w:pStyle w:val="ListParagraph"/>
              <w:numPr>
                <w:ilvl w:val="0"/>
                <w:numId w:val="2"/>
              </w:numPr>
              <w:spacing w:after="40"/>
            </w:pPr>
            <w:r>
              <w:t xml:space="preserve">Albiglutide, lixisenatide</w:t>
            </w:r>
          </w:p>
          <w:p>
            <w:pPr>
              <w:spacing w:after="0"/>
            </w:pP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Comparison (C)</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Insulin regimen</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80"/>
            </w:pPr>
            <w:r>
              <w:t xml:space="preserve">Any insulin regimen as monotherapy or add-on, including:</w:t>
            </w:r>
          </w:p>
          <w:p>
            <w:pPr>
              <w:pStyle w:val="ListParagraph"/>
              <w:numPr>
                <w:ilvl w:val="0"/>
                <w:numId w:val="2"/>
              </w:numPr>
              <w:spacing w:after="40"/>
            </w:pPr>
            <w:r>
              <w:t xml:space="preserve">Basal insulin (glargine, detemir, degludec, NPH)</w:t>
            </w:r>
          </w:p>
          <w:p>
            <w:pPr>
              <w:pStyle w:val="ListParagraph"/>
              <w:numPr>
                <w:ilvl w:val="0"/>
                <w:numId w:val="2"/>
              </w:numPr>
              <w:spacing w:after="40"/>
            </w:pPr>
            <w:r>
              <w:t xml:space="preserve">Basal-bolus regimens</w:t>
            </w:r>
          </w:p>
          <w:p>
            <w:pPr>
              <w:pStyle w:val="ListParagraph"/>
              <w:numPr>
                <w:ilvl w:val="0"/>
                <w:numId w:val="2"/>
              </w:numPr>
              <w:spacing w:after="40"/>
            </w:pPr>
            <w:r>
              <w:t xml:space="preserve">Premixed insulin</w:t>
            </w:r>
          </w:p>
          <w:p>
            <w:pPr>
              <w:pStyle w:val="ListParagraph"/>
              <w:numPr>
                <w:ilvl w:val="0"/>
                <w:numId w:val="2"/>
              </w:numPr>
              <w:spacing w:after="40"/>
            </w:pPr>
            <w:r>
              <w:t xml:space="preserve">Rapid-acting insulin analogues (aspart, lispro, glulisine)</w:t>
            </w:r>
          </w:p>
          <w:p>
            <w:pPr>
              <w:spacing w:after="80"/>
            </w:pPr>
            <w:r>
              <w:t xml:space="preserve">Note: Studies comparing GLP-1 RA + insulin versus insulin alone will be included only if a GLP-1 RA vs insulin (without GLP-1 RA) comparator arm is present.</w:t>
            </w:r>
          </w:p>
          <w:p>
            <w:pPr>
              <w:spacing w:after="0"/>
            </w:pP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Outcomes (O)</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Primary outcome</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80"/>
            </w:pPr>
            <w:r>
              <w:rPr>
                <w:b/>
                <w:bCs/>
              </w:rPr>
              <w:t xml:space="preserve">HbA1c reduction (%) from baseline</w:t>
            </w:r>
            <w:r>
              <w:t xml:space="preserve"> at 6 months and 12 months of follow-up, as measured by HPLC or equivalent validated laboratory method.</w:t>
            </w:r>
          </w:p>
          <w:p>
            <w:pPr>
              <w:spacing w:after="0"/>
            </w:pP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Secondary outcomes</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pStyle w:val="ListParagraph"/>
              <w:numPr>
                <w:ilvl w:val="0"/>
                <w:numId w:val="2"/>
              </w:numPr>
              <w:spacing w:after="40"/>
            </w:pPr>
            <w:r>
              <w:t xml:space="preserve">Change in body weight (kg) from baseline at 6 and 12 months</w:t>
            </w:r>
          </w:p>
          <w:p>
            <w:pPr>
              <w:pStyle w:val="ListParagraph"/>
              <w:numPr>
                <w:ilvl w:val="0"/>
                <w:numId w:val="2"/>
              </w:numPr>
              <w:spacing w:after="40"/>
            </w:pPr>
            <w:r>
              <w:t xml:space="preserve">Change in systolic blood pressure (mmHg) from baseline</w:t>
            </w:r>
          </w:p>
          <w:p>
            <w:pPr>
              <w:pStyle w:val="ListParagraph"/>
              <w:numPr>
                <w:ilvl w:val="0"/>
                <w:numId w:val="2"/>
              </w:numPr>
              <w:spacing w:after="40"/>
            </w:pPr>
            <w:r>
              <w:t xml:space="preserve">Change in eGFR (mL/min/1.73 m²) from baseline to end of follow-up</w:t>
            </w:r>
          </w:p>
          <w:p>
            <w:pPr>
              <w:pStyle w:val="ListParagraph"/>
              <w:numPr>
                <w:ilvl w:val="0"/>
                <w:numId w:val="2"/>
              </w:numPr>
              <w:spacing w:after="40"/>
            </w:pPr>
            <w:r>
              <w:t xml:space="preserve">Change in UACR (mg/g) from baseline</w:t>
            </w:r>
          </w:p>
          <w:p>
            <w:pPr>
              <w:pStyle w:val="ListParagraph"/>
              <w:numPr>
                <w:ilvl w:val="0"/>
                <w:numId w:val="2"/>
              </w:numPr>
              <w:spacing w:after="40"/>
            </w:pPr>
            <w:r>
              <w:t xml:space="preserve">Incidence of any hypoglycemia (plasma glucose &lt;3.9 mmol/L or equivalent)</w:t>
            </w:r>
          </w:p>
          <w:p>
            <w:pPr>
              <w:pStyle w:val="ListParagraph"/>
              <w:numPr>
                <w:ilvl w:val="0"/>
                <w:numId w:val="2"/>
              </w:numPr>
              <w:spacing w:after="40"/>
            </w:pPr>
            <w:r>
              <w:t xml:space="preserve">Incidence of severe hypoglycemia (requiring third-party assistance)</w:t>
            </w:r>
          </w:p>
          <w:p>
            <w:pPr>
              <w:pStyle w:val="ListParagraph"/>
              <w:numPr>
                <w:ilvl w:val="0"/>
                <w:numId w:val="2"/>
              </w:numPr>
              <w:spacing w:after="40"/>
            </w:pPr>
            <w:r>
              <w:t xml:space="preserve">Incidence of serious adverse events (as defined by each study)</w:t>
            </w:r>
          </w:p>
          <w:p>
            <w:pPr>
              <w:pStyle w:val="ListParagraph"/>
              <w:numPr>
                <w:ilvl w:val="0"/>
                <w:numId w:val="2"/>
              </w:numPr>
              <w:spacing w:after="40"/>
            </w:pPr>
            <w:r>
              <w:t xml:space="preserve">All-cause mortality</w:t>
            </w:r>
          </w:p>
          <w:p>
            <w:pPr>
              <w:pStyle w:val="ListParagraph"/>
              <w:numPr>
                <w:ilvl w:val="0"/>
                <w:numId w:val="2"/>
              </w:numPr>
              <w:spacing w:after="40"/>
            </w:pPr>
            <w:r>
              <w:t xml:space="preserve">Cardiovascular mortality and major adverse cardiovascular events (MACE)</w:t>
            </w:r>
          </w:p>
          <w:p>
            <w:pPr>
              <w:spacing w:after="0"/>
            </w:pP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Study Design (S)</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Included designs</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pStyle w:val="ListParagraph"/>
              <w:numPr>
                <w:ilvl w:val="0"/>
                <w:numId w:val="2"/>
              </w:numPr>
              <w:spacing w:after="40"/>
            </w:pPr>
            <w:r>
              <w:t xml:space="preserve">Randomized controlled trials (RCTs), parallel-group or crossover (crossover trials: first-period data only)</w:t>
            </w:r>
          </w:p>
          <w:p>
            <w:pPr>
              <w:pStyle w:val="ListParagraph"/>
              <w:numPr>
                <w:ilvl w:val="0"/>
                <w:numId w:val="2"/>
              </w:numPr>
              <w:spacing w:after="40"/>
            </w:pPr>
            <w:r>
              <w:t xml:space="preserve">Prospective cohort studies with a concurrent comparator arm</w:t>
            </w:r>
          </w:p>
          <w:p>
            <w:pPr>
              <w:spacing w:after="80"/>
            </w:pPr>
            <w:r>
              <w:t xml:space="preserve">Minimum follow-up duration: 12 weeks. Date range: January 2005 (year of first GLP-1 RA approval, exenatide) to present.</w:t>
            </w:r>
          </w:p>
          <w:p>
            <w:pPr>
              <w:spacing w:after="0"/>
            </w:pP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Excluded designs</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pStyle w:val="ListParagraph"/>
              <w:numPr>
                <w:ilvl w:val="0"/>
                <w:numId w:val="2"/>
              </w:numPr>
              <w:spacing w:after="40"/>
            </w:pPr>
            <w:r>
              <w:t xml:space="preserve">Case reports, case series, cross-sectional studies</w:t>
            </w:r>
          </w:p>
          <w:p>
            <w:pPr>
              <w:pStyle w:val="ListParagraph"/>
              <w:numPr>
                <w:ilvl w:val="0"/>
                <w:numId w:val="2"/>
              </w:numPr>
              <w:spacing w:after="40"/>
            </w:pPr>
            <w:r>
              <w:t xml:space="preserve">Retrospective observational studies without propensity-score adjustment</w:t>
            </w:r>
          </w:p>
          <w:p>
            <w:pPr>
              <w:pStyle w:val="ListParagraph"/>
              <w:numPr>
                <w:ilvl w:val="0"/>
                <w:numId w:val="2"/>
              </w:numPr>
              <w:spacing w:after="40"/>
            </w:pPr>
            <w:r>
              <w:t xml:space="preserve">Editorials, letters, narrative reviews, animal studies, in vitro studies</w:t>
            </w:r>
          </w:p>
          <w:p>
            <w:pPr>
              <w:pStyle w:val="ListParagraph"/>
              <w:numPr>
                <w:ilvl w:val="0"/>
                <w:numId w:val="2"/>
              </w:numPr>
              <w:spacing w:after="40"/>
            </w:pPr>
            <w:r>
              <w:t xml:space="preserve">Studies for which full text cannot be retrieved after two contact attempts with corresponding author</w:t>
            </w:r>
          </w:p>
          <w:p>
            <w:pPr>
              <w:spacing w:after="0"/>
            </w:pP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Language and date</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No language restriction. Non-English records will be translated using institutional resources or professional translation with expert verification of clinical terminology. Date: January 2005 to [search date].</w:t>
            </w:r>
          </w:p>
        </w:tc>
      </w:tr>
    </w:tbl>
    <w:p>
      <w:pPr>
        <w:spacing w:after="200"/>
      </w:pPr>
      <w:r>
        <w:t xml:space="preserve"/>
      </w:r>
    </w:p>
    <w:p>
      <w:pPr>
        <w:pStyle w:val="Heading3"/>
        <w:spacing w:after="80" w:before="200"/>
      </w:pPr>
      <w:r>
        <w:rPr>
          <w:b/>
          <w:bCs/>
        </w:rPr>
        <w:t xml:space="preserve">3b. Information Sources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Bibliographic databases</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Databases to be searched</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pStyle w:val="ListParagraph"/>
              <w:numPr>
                <w:ilvl w:val="0"/>
                <w:numId w:val="2"/>
              </w:numPr>
              <w:spacing w:after="40"/>
            </w:pPr>
            <w:r>
              <w:t xml:space="preserve">MEDLINE (via PubMed)</w:t>
            </w:r>
          </w:p>
          <w:p>
            <w:pPr>
              <w:pStyle w:val="ListParagraph"/>
              <w:numPr>
                <w:ilvl w:val="0"/>
                <w:numId w:val="2"/>
              </w:numPr>
              <w:spacing w:after="40"/>
            </w:pPr>
            <w:r>
              <w:t xml:space="preserve">Embase (via Elsevier)</w:t>
            </w:r>
          </w:p>
          <w:p>
            <w:pPr>
              <w:pStyle w:val="ListParagraph"/>
              <w:numPr>
                <w:ilvl w:val="0"/>
                <w:numId w:val="2"/>
              </w:numPr>
              <w:spacing w:after="40"/>
            </w:pPr>
            <w:r>
              <w:t xml:space="preserve">Cochrane Central Register of Controlled Trials (CENTRAL)</w:t>
            </w:r>
          </w:p>
          <w:p>
            <w:pPr>
              <w:pStyle w:val="ListParagraph"/>
              <w:numPr>
                <w:ilvl w:val="0"/>
                <w:numId w:val="2"/>
              </w:numPr>
              <w:spacing w:after="40"/>
            </w:pPr>
            <w:r>
              <w:t xml:space="preserve">CINAHL (via EBSCOhost)</w:t>
            </w:r>
          </w:p>
          <w:p>
            <w:pPr>
              <w:pStyle w:val="ListParagraph"/>
              <w:numPr>
                <w:ilvl w:val="0"/>
                <w:numId w:val="2"/>
              </w:numPr>
              <w:spacing w:after="40"/>
            </w:pPr>
            <w:r>
              <w:t xml:space="preserve">Web of Science Core Collection</w:t>
            </w:r>
          </w:p>
          <w:p>
            <w:pPr>
              <w:spacing w:after="0"/>
            </w:pP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Grey literature and supplementary sources</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Additional sources</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pStyle w:val="ListParagraph"/>
              <w:numPr>
                <w:ilvl w:val="0"/>
                <w:numId w:val="2"/>
              </w:numPr>
              <w:spacing w:after="40"/>
            </w:pPr>
            <w:r>
              <w:t xml:space="preserve">ClinicalTrials.gov</w:t>
            </w:r>
          </w:p>
          <w:p>
            <w:pPr>
              <w:pStyle w:val="ListParagraph"/>
              <w:numPr>
                <w:ilvl w:val="0"/>
                <w:numId w:val="2"/>
              </w:numPr>
              <w:spacing w:after="40"/>
            </w:pPr>
            <w:r>
              <w:t xml:space="preserve">WHO International Clinical Trials Registry Platform (ICTRP)</w:t>
            </w:r>
          </w:p>
          <w:p>
            <w:pPr>
              <w:pStyle w:val="ListParagraph"/>
              <w:numPr>
                <w:ilvl w:val="0"/>
                <w:numId w:val="2"/>
              </w:numPr>
              <w:spacing w:after="40"/>
            </w:pPr>
            <w:r>
              <w:t xml:space="preserve">EU Clinical Trials Register</w:t>
            </w:r>
          </w:p>
          <w:p>
            <w:pPr>
              <w:pStyle w:val="ListParagraph"/>
              <w:numPr>
                <w:ilvl w:val="0"/>
                <w:numId w:val="2"/>
              </w:numPr>
              <w:spacing w:after="40"/>
            </w:pPr>
            <w:r>
              <w:t xml:space="preserve">FDA and EMA drug approval databases (for unpublished clinical study reports)</w:t>
            </w:r>
          </w:p>
          <w:p>
            <w:pPr>
              <w:pStyle w:val="ListParagraph"/>
              <w:numPr>
                <w:ilvl w:val="0"/>
                <w:numId w:val="2"/>
              </w:numPr>
              <w:spacing w:after="40"/>
            </w:pPr>
            <w:r>
              <w:t xml:space="preserve">Conference abstracts: American Diabetes Association (ADA) Scientific Sessions, European Association for the Study of Diabetes (EASD) Annual Meeting, American Society of Nephrology (ASN) Kidney Week (last 5 years)</w:t>
            </w:r>
          </w:p>
          <w:p>
            <w:pPr>
              <w:pStyle w:val="ListParagraph"/>
              <w:numPr>
                <w:ilvl w:val="0"/>
                <w:numId w:val="2"/>
              </w:numPr>
              <w:spacing w:after="40"/>
            </w:pPr>
            <w:r>
              <w:t xml:space="preserve">Reference lists of all included studies (backward citation chasing)</w:t>
            </w:r>
          </w:p>
          <w:p>
            <w:pPr>
              <w:pStyle w:val="ListParagraph"/>
              <w:numPr>
                <w:ilvl w:val="0"/>
                <w:numId w:val="2"/>
              </w:numPr>
              <w:spacing w:after="40"/>
            </w:pPr>
            <w:r>
              <w:t xml:space="preserve">Forward citation searching of key included studies via Web of Science</w:t>
            </w:r>
          </w:p>
          <w:p>
            <w:pPr>
              <w:pStyle w:val="ListParagraph"/>
              <w:numPr>
                <w:ilvl w:val="0"/>
                <w:numId w:val="2"/>
              </w:numPr>
              <w:spacing w:after="40"/>
            </w:pPr>
            <w:r>
              <w:t xml:space="preserve">Contact with corresponding authors of included studies for unpublished or ongoing data</w:t>
            </w:r>
          </w:p>
          <w:p>
            <w:pPr>
              <w:spacing w:after="0"/>
            </w:pP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Search peer review</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PRESS review</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The search strategy will be peer-reviewed by a second independent information specialist using the PRESS 2015 Evidence-Based Checklist prior to execution in any database. The completed PRESS form will be provided as a supplementary file.</w:t>
            </w:r>
          </w:p>
        </w:tc>
      </w:tr>
    </w:tbl>
    <w:p>
      <w:pPr>
        <w:spacing w:after="200"/>
      </w:pPr>
      <w:r>
        <w:t xml:space="preserve"/>
      </w:r>
    </w:p>
    <w:p>
      <w:pPr>
        <w:pStyle w:val="Heading3"/>
        <w:spacing w:after="80" w:before="200"/>
      </w:pPr>
      <w:r>
        <w:rPr>
          <w:b/>
          <w:bCs/>
        </w:rPr>
        <w:t xml:space="preserve">3c. Search Strategy</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Sample strategy — MEDLINE via PubMed</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Concept blocks and Boolean structure</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80"/>
            </w:pPr>
            <w:r>
              <w:rPr>
                <w:b/>
                <w:bCs/>
              </w:rPr>
              <w:t xml:space="preserve">Block 1: GLP-1 receptor agonists</w:t>
            </w:r>
          </w:p>
          <w:p>
            <w:pPr>
              <w:spacing w:after="80"/>
            </w:pPr>
            <w:r>
              <w:t xml:space="preserve">("glucagon-like peptide-1"[MeSH Terms] OR "glucagon-like peptide 1 receptor"[MeSH Terms] OR "GLP-1 receptor agonist*"[tiab] OR "liraglutide"[tiab] OR "semaglutide"[tiab] OR "dulaglutide"[tiab] OR "exenatide"[tiab] OR "tirzepatide"[tiab] OR "albiglutide"[tiab] OR "lixisenatide"[tiab])</w:t>
            </w:r>
          </w:p>
          <w:p>
            <w:pPr>
              <w:spacing w:after="80"/>
            </w:pPr>
            <w:r>
              <w:rPr>
                <w:b/>
                <w:bCs/>
              </w:rPr>
              <w:t xml:space="preserve">Block 2: Insulin therapy</w:t>
            </w:r>
          </w:p>
          <w:p>
            <w:pPr>
              <w:spacing w:after="80"/>
            </w:pPr>
            <w:r>
              <w:t xml:space="preserve">("insulin"[MeSH Terms] OR "insulin"[tiab] OR "insulin therapy"[tiab] OR "basal insulin"[tiab] OR "insulin glargine"[tiab] OR "insulin detemir"[tiab] OR "insulin degludec"[tiab])</w:t>
            </w:r>
          </w:p>
          <w:p>
            <w:pPr>
              <w:spacing w:after="80"/>
            </w:pPr>
            <w:r>
              <w:rPr>
                <w:b/>
                <w:bCs/>
              </w:rPr>
              <w:t xml:space="preserve">Block 3: Type 2 diabetes</w:t>
            </w:r>
          </w:p>
          <w:p>
            <w:pPr>
              <w:spacing w:after="80"/>
            </w:pPr>
            <w:r>
              <w:t xml:space="preserve">("diabetes mellitus, type 2"[MeSH Terms] OR "type 2 diabetes"[tiab] OR "T2DM"[tiab] OR "non-insulin-dependent diabetes"[tiab] OR "NIDDM"[tiab])</w:t>
            </w:r>
          </w:p>
          <w:p>
            <w:pPr>
              <w:spacing w:after="80"/>
            </w:pPr>
            <w:r>
              <w:rPr>
                <w:b/>
                <w:bCs/>
              </w:rPr>
              <w:t xml:space="preserve">Block 4: Chronic kidney disease</w:t>
            </w:r>
          </w:p>
          <w:p>
            <w:pPr>
              <w:spacing w:after="80"/>
            </w:pPr>
            <w:r>
              <w:t xml:space="preserve">("renal insufficiency, chronic"[MeSH Terms] OR "diabetic nephropathies"[MeSH Terms] OR "chronic kidney disease"[tiab] OR "CKD"[tiab] OR "renal insufficiency"[tiab] OR "reduced eGFR"[tiab] OR "decreased glomerular filtration rate"[tiab] OR "diabetic nephropathy"[tiab])</w:t>
            </w:r>
          </w:p>
          <w:p>
            <w:pPr>
              <w:spacing w:after="80"/>
            </w:pPr>
            <w:r>
              <w:rPr>
                <w:b/>
                <w:bCs/>
              </w:rPr>
              <w:t xml:space="preserve">Combined: </w:t>
            </w:r>
            <w:r>
              <w:t xml:space="preserve">Block 1 AND Block 2 AND Block 3 AND Block 4</w:t>
            </w:r>
          </w:p>
          <w:p>
            <w:pPr>
              <w:spacing w:after="80"/>
            </w:pPr>
            <w:r>
              <w:t xml:space="preserve">Full strategies for Embase, CENTRAL, CINAHL, and Web of Science will be provided as Supplementary File 1. Strategies will be adapted to use database-specific controlled vocabulary (EMTREE for Embase; CINAHL Subject Headings) combined with free-text synonyms.</w:t>
            </w:r>
          </w:p>
          <w:p>
            <w:pPr>
              <w:spacing w:after="0"/>
            </w:pP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Date of search</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[To be completed on date of search execution]</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Search update</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The search will be rerun immediately prior to submission of the completed review to capture any studies published after the initial search date.</w:t>
            </w:r>
          </w:p>
        </w:tc>
      </w:tr>
    </w:tbl>
    <w:p>
      <w:pPr>
        <w:spacing w:after="200"/>
      </w:pPr>
      <w:r>
        <w:t xml:space="preserve"/>
      </w:r>
    </w:p>
    <w:p>
      <w:pPr>
        <w:pStyle w:val="Heading3"/>
        <w:spacing w:after="80" w:before="200"/>
      </w:pPr>
      <w:r>
        <w:rPr>
          <w:b/>
          <w:bCs/>
        </w:rPr>
        <w:t xml:space="preserve">3d. Study Selection Process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Deduplication and import</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Software</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All records retrieved will be exported to Endnote 21 for automated deduplication, followed by manual verification, then imported into Covidence (Veritas Health Innovation, Melbourne, Australia) for screening.</w:t>
            </w: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Stage 1: Title and abstract screening</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Process</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80"/>
            </w:pPr>
            <w:r>
              <w:t xml:space="preserve">Two independent reviewers ([Initials] and [Initials]) will screen all titles and abstracts against the eligibility criteria. Records will be classified as: Include, Exclude, or Uncertain. Any record not confidently excludable will be retained for full-text review.</w:t>
            </w:r>
          </w:p>
          <w:p>
            <w:pPr>
              <w:spacing w:after="80"/>
            </w:pPr>
            <w:r>
              <w:t xml:space="preserve">A calibration exercise will be conducted on 50 randomly selected records before formal screening begins. Inter-rater agreement (Cohen’s Kappa) will be calculated and reported after the calibration exercise and again at completion of Stage 1 screening.</w:t>
            </w:r>
          </w:p>
          <w:p>
            <w:pPr>
              <w:spacing w:after="0"/>
            </w:pP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Stage 2: Full-text eligibility assessment</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Process</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80"/>
            </w:pPr>
            <w:r>
              <w:t xml:space="preserve">Full texts of all records retained at Stage 1 will be retrieved and independently assessed by the same two reviewers against all PICOS eligibility criteria. Reasons for exclusion at this stage will be documented for each excluded record and reported in the PRISMA 2020 flow diagram.</w:t>
            </w:r>
          </w:p>
          <w:p>
            <w:pPr>
              <w:spacing w:after="80"/>
            </w:pPr>
            <w:r>
              <w:t xml:space="preserve">Disagreements at both stages will be resolved through structured discussion; a pre-specified third reviewer ([Initials]) will arbitrate any irresolvable disagreements.</w:t>
            </w:r>
          </w:p>
          <w:p>
            <w:pPr>
              <w:spacing w:after="0"/>
            </w:pP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Handling of special cases</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80"/>
            </w:pPr>
            <w:r>
              <w:rPr>
                <w:b/>
                <w:bCs/>
              </w:rPr>
              <w:t xml:space="preserve">Multiple reports of the same study: </w:t>
            </w:r>
            <w:r>
              <w:t xml:space="preserve">Multiple publications from the same study will be linked and treated as a single study; the report providing the most complete outcome data will be used as the primary reference.</w:t>
            </w:r>
          </w:p>
          <w:p>
            <w:pPr>
              <w:spacing w:after="80"/>
            </w:pPr>
            <w:r>
              <w:rPr>
                <w:b/>
                <w:bCs/>
              </w:rPr>
              <w:t xml:space="preserve">Ongoing trials: </w:t>
            </w:r>
            <w:r>
              <w:t xml:space="preserve">Ongoing trials identified from registries will be listed in the review and considered for inclusion if results become available before the final search update.</w:t>
            </w:r>
          </w:p>
          <w:p>
            <w:pPr>
              <w:spacing w:after="80"/>
            </w:pPr>
            <w:r>
              <w:rPr>
                <w:b/>
                <w:bCs/>
              </w:rPr>
              <w:t xml:space="preserve">Unpublished data: </w:t>
            </w:r>
            <w:r>
              <w:t xml:space="preserve">Corresponding authors will be contacted twice (4-week interval) for unreported data relevant to pre-specified outcomes.</w:t>
            </w:r>
          </w:p>
          <w:p>
            <w:pPr>
              <w:spacing w:after="0"/>
            </w:pPr>
          </w:p>
        </w:tc>
      </w:tr>
    </w:tbl>
    <w:p>
      <w:pPr>
        <w:spacing w:after="200"/>
      </w:pPr>
      <w:r>
        <w:t xml:space="preserve"/>
      </w:r>
    </w:p>
    <w:p>
      <w:pPr>
        <w:pStyle w:val="Heading3"/>
        <w:spacing w:after="80" w:before="200"/>
      </w:pPr>
      <w:r>
        <w:rPr>
          <w:b/>
          <w:bCs/>
        </w:rPr>
        <w:t xml:space="preserve">3e. Data Collection / Extraction</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Extraction form</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Development and piloting</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A standardized data extraction form will be developed in Covidence, piloted independently by both reviewers on three included studies, and revised before formal extraction begins. The final form will be provided as Supplementary File 2.</w:t>
            </w: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Data items to be extracted</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Bibliographic</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pStyle w:val="ListParagraph"/>
              <w:numPr>
                <w:ilvl w:val="0"/>
                <w:numId w:val="2"/>
              </w:numPr>
              <w:spacing w:after="40"/>
            </w:pPr>
            <w:r>
              <w:t xml:space="preserve">First author, year of publication, journal, country of study conduct</w:t>
            </w:r>
          </w:p>
          <w:p>
            <w:pPr>
              <w:pStyle w:val="ListParagraph"/>
              <w:numPr>
                <w:ilvl w:val="0"/>
                <w:numId w:val="2"/>
              </w:numPr>
              <w:spacing w:after="40"/>
            </w:pPr>
            <w:r>
              <w:t xml:space="preserve">Trial registration number and funding source</w:t>
            </w:r>
          </w:p>
          <w:p>
            <w:pPr>
              <w:spacing w:after="0"/>
            </w:pP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Study design</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pStyle w:val="ListParagraph"/>
              <w:numPr>
                <w:ilvl w:val="0"/>
                <w:numId w:val="2"/>
              </w:numPr>
              <w:spacing w:after="40"/>
            </w:pPr>
            <w:r>
              <w:t xml:space="preserve">Study type (RCT, prospective cohort), randomization method, sequence generation, allocation concealment, blinding (participants, personnel, outcome assessors)</w:t>
            </w:r>
          </w:p>
          <w:p>
            <w:pPr>
              <w:pStyle w:val="ListParagraph"/>
              <w:numPr>
                <w:ilvl w:val="0"/>
                <w:numId w:val="2"/>
              </w:numPr>
              <w:spacing w:after="40"/>
            </w:pPr>
            <w:r>
              <w:t xml:space="preserve">Total follow-up duration and number of planned and actual visits</w:t>
            </w:r>
          </w:p>
          <w:p>
            <w:pPr>
              <w:spacing w:after="0"/>
            </w:pP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Population</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pStyle w:val="ListParagraph"/>
              <w:numPr>
                <w:ilvl w:val="0"/>
                <w:numId w:val="2"/>
              </w:numPr>
              <w:spacing w:after="40"/>
            </w:pPr>
            <w:r>
              <w:t xml:space="preserve">Total sample size per arm; age (mean ± SD or median [IQR]); sex distribution (%)</w:t>
            </w:r>
          </w:p>
          <w:p>
            <w:pPr>
              <w:pStyle w:val="ListParagraph"/>
              <w:numPr>
                <w:ilvl w:val="0"/>
                <w:numId w:val="2"/>
              </w:numPr>
              <w:spacing w:after="40"/>
            </w:pPr>
            <w:r>
              <w:t xml:space="preserve">Diabetes duration (years); baseline HbA1c (%) [mean ± SD]</w:t>
            </w:r>
          </w:p>
          <w:p>
            <w:pPr>
              <w:pStyle w:val="ListParagraph"/>
              <w:numPr>
                <w:ilvl w:val="0"/>
                <w:numId w:val="2"/>
              </w:numPr>
              <w:spacing w:after="40"/>
            </w:pPr>
            <w:r>
              <w:t xml:space="preserve">CKD stage; baseline eGFR (mL/min/1.73 m²); baseline UACR (mg/g)</w:t>
            </w:r>
          </w:p>
          <w:p>
            <w:pPr>
              <w:pStyle w:val="ListParagraph"/>
              <w:numPr>
                <w:ilvl w:val="0"/>
                <w:numId w:val="2"/>
              </w:numPr>
              <w:spacing w:after="40"/>
            </w:pPr>
            <w:r>
              <w:t xml:space="preserve">Comorbidities: cardiovascular disease, hypertension, dyslipidemia (prevalence %)</w:t>
            </w:r>
          </w:p>
          <w:p>
            <w:pPr>
              <w:pStyle w:val="ListParagraph"/>
              <w:numPr>
                <w:ilvl w:val="0"/>
                <w:numId w:val="2"/>
              </w:numPr>
              <w:spacing w:after="40"/>
            </w:pPr>
            <w:r>
              <w:t xml:space="preserve">Concomitant medications: RAAS blockers, SGLT2 inhibitors, metformin, other</w:t>
            </w:r>
          </w:p>
          <w:p>
            <w:pPr>
              <w:spacing w:after="0"/>
            </w:pP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Intervention and comparator</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pStyle w:val="ListParagraph"/>
              <w:numPr>
                <w:ilvl w:val="0"/>
                <w:numId w:val="2"/>
              </w:numPr>
              <w:spacing w:after="40"/>
            </w:pPr>
            <w:r>
              <w:t xml:space="preserve">GLP-1 RA: agent name, dose, route, dosing frequency, titration protocol, duration of treatment</w:t>
            </w:r>
          </w:p>
          <w:p>
            <w:pPr>
              <w:pStyle w:val="ListParagraph"/>
              <w:numPr>
                <w:ilvl w:val="0"/>
                <w:numId w:val="2"/>
              </w:numPr>
              <w:spacing w:after="40"/>
            </w:pPr>
            <w:r>
              <w:t xml:space="preserve">Insulin: type, starting dose, titration algorithm, delivery device, duration</w:t>
            </w:r>
          </w:p>
          <w:p>
            <w:pPr>
              <w:pStyle w:val="ListParagraph"/>
              <w:numPr>
                <w:ilvl w:val="0"/>
                <w:numId w:val="2"/>
              </w:numPr>
              <w:spacing w:after="40"/>
            </w:pPr>
            <w:r>
              <w:t xml:space="preserve">Concomitant glucose-lowering agents (both arms)</w:t>
            </w:r>
          </w:p>
          <w:p>
            <w:pPr>
              <w:spacing w:after="0"/>
            </w:pP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Outcomes</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pStyle w:val="ListParagraph"/>
              <w:numPr>
                <w:ilvl w:val="0"/>
                <w:numId w:val="2"/>
              </w:numPr>
              <w:spacing w:after="40"/>
            </w:pPr>
            <w:r>
              <w:t xml:space="preserve">Primary: HbA1c change from baseline (%) at 6 and 12 months [mean ± SD or SE; n per arm]</w:t>
            </w:r>
          </w:p>
          <w:p>
            <w:pPr>
              <w:pStyle w:val="ListParagraph"/>
              <w:numPr>
                <w:ilvl w:val="0"/>
                <w:numId w:val="2"/>
              </w:numPr>
              <w:spacing w:after="40"/>
            </w:pPr>
            <w:r>
              <w:t xml:space="preserve">All pre-specified secondary outcomes: mean change from baseline with SD/95% CI, n per arm, time points</w:t>
            </w:r>
          </w:p>
          <w:p>
            <w:pPr>
              <w:pStyle w:val="ListParagraph"/>
              <w:numPr>
                <w:ilvl w:val="0"/>
                <w:numId w:val="2"/>
              </w:numPr>
              <w:spacing w:after="40"/>
            </w:pPr>
            <w:r>
              <w:t xml:space="preserve">Hypoglycemia: definition used, number of events, number of participants affected, person-time if reported</w:t>
            </w:r>
          </w:p>
          <w:p>
            <w:pPr>
              <w:pStyle w:val="ListParagraph"/>
              <w:numPr>
                <w:ilvl w:val="0"/>
                <w:numId w:val="2"/>
              </w:numPr>
              <w:spacing w:after="40"/>
            </w:pPr>
            <w:r>
              <w:t xml:space="preserve">SAEs: number and type; all-cause and cardiovascular mortality: number of events</w:t>
            </w:r>
          </w:p>
          <w:p>
            <w:pPr>
              <w:pStyle w:val="ListParagraph"/>
              <w:numPr>
                <w:ilvl w:val="0"/>
                <w:numId w:val="2"/>
              </w:numPr>
              <w:spacing w:after="40"/>
            </w:pPr>
            <w:r>
              <w:t xml:space="preserve">Attrition: number and reasons for dropout per arm</w:t>
            </w:r>
          </w:p>
          <w:p>
            <w:pPr>
              <w:spacing w:after="0"/>
            </w:pP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Extraction process</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Independent dual extraction</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Both reviewers ([Initials] and [Initials]) will extract data independently. Discrepancies will be resolved by discussion; the arbitrating reviewer ([Initials]) will make the final decision if consensus is not reached. All extraction decisions will be documented in Covidence.</w:t>
            </w:r>
          </w:p>
        </w:tc>
      </w:tr>
    </w:tbl>
    <w:p>
      <w:pPr>
        <w:spacing w:after="200"/>
      </w:pPr>
      <w:r>
        <w:t xml:space="preserve"/>
      </w:r>
    </w:p>
    <w:p>
      <w:pPr>
        <w:pStyle w:val="Heading3"/>
        <w:spacing w:after="80" w:before="200"/>
      </w:pPr>
      <w:r>
        <w:rPr>
          <w:b/>
          <w:bCs/>
        </w:rPr>
        <w:t xml:space="preserve">3f. Risk of Bias Assessment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Tools</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By study design</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80"/>
            </w:pPr>
            <w:r>
              <w:rPr>
                <w:b/>
                <w:bCs/>
              </w:rPr>
              <w:t xml:space="preserve">RCTs: </w:t>
            </w:r>
            <w:r>
              <w:t xml:space="preserve">Cochrane Risk of Bias 2.0 (RoB 2.0). Domains: (1) randomization process; (2) deviations from intended interventions; (3) missing outcome data; (4) measurement of the outcome; (5) selection of the reported result. Overall judgment: low risk / some concerns / high risk.</w:t>
            </w:r>
          </w:p>
          <w:p>
            <w:pPr>
              <w:spacing w:after="80"/>
            </w:pPr>
            <w:r>
              <w:rPr>
                <w:b/>
                <w:bCs/>
              </w:rPr>
              <w:t xml:space="preserve">Prospective cohort studies: </w:t>
            </w:r>
            <w:r>
              <w:t xml:space="preserve">ROBINS-I (Risk Of Bias In Non-randomized Studies of Interventions). Domains: (1) confounding; (2) selection of participants; (3) classification of interventions; (4) deviations from intended interventions; (5) missing data; (6) measurement of outcomes; (7) selection of reported results. Overall judgment: low / moderate / serious / critical risk.</w:t>
            </w:r>
          </w:p>
          <w:p>
            <w:pPr>
              <w:spacing w:after="0"/>
            </w:pP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Process</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80"/>
            </w:pPr>
            <w:r>
              <w:t xml:space="preserve">Two reviewers ([Initials] and [Initials]) will independently assess each included study. Domain-level and overall judgments will be entered in Covidence. Disagreements will be resolved by discussion or arbitration by the third reviewer ([Initials]).</w:t>
            </w:r>
          </w:p>
          <w:p>
            <w:pPr>
              <w:spacing w:after="80"/>
            </w:pPr>
            <w:r>
              <w:t xml:space="preserve">Results will be presented as:</w:t>
            </w:r>
          </w:p>
          <w:p>
            <w:pPr>
              <w:pStyle w:val="ListParagraph"/>
              <w:numPr>
                <w:ilvl w:val="0"/>
                <w:numId w:val="2"/>
              </w:numPr>
              <w:spacing w:after="40"/>
            </w:pPr>
            <w:r>
              <w:t xml:space="preserve">Traffic-light plots (RoB 2.0 and ROBINS-I domain profiles) for each included study, generated using robvis (R package)</w:t>
            </w:r>
          </w:p>
          <w:p>
            <w:pPr>
              <w:pStyle w:val="ListParagraph"/>
              <w:numPr>
                <w:ilvl w:val="0"/>
                <w:numId w:val="2"/>
              </w:numPr>
              <w:spacing w:after="40"/>
            </w:pPr>
            <w:r>
              <w:t xml:space="preserve">Summary bar charts showing the proportion of studies at each risk of bias level per domain</w:t>
            </w:r>
          </w:p>
          <w:p>
            <w:pPr>
              <w:spacing w:after="0"/>
            </w:pP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Handling of high-risk studies</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80"/>
            </w:pPr>
            <w:r>
              <w:t xml:space="preserve">Studies at high risk of bias (overall) will not be automatically excluded. Their inclusion will be noted in the narrative synthesis and addressed in pre-specified sensitivity analyses (see Section 3h).</w:t>
            </w:r>
          </w:p>
          <w:p>
            <w:pPr>
              <w:spacing w:after="0"/>
            </w:pPr>
          </w:p>
        </w:tc>
      </w:tr>
    </w:tbl>
    <w:p>
      <w:pPr>
        <w:spacing w:after="200"/>
      </w:pPr>
      <w:r>
        <w:t xml:space="preserve"/>
      </w:r>
    </w:p>
    <w:p>
      <w:pPr>
        <w:pStyle w:val="Heading3"/>
        <w:spacing w:after="80" w:before="200"/>
      </w:pPr>
      <w:r>
        <w:rPr>
          <w:b/>
          <w:bCs/>
        </w:rPr>
        <w:t xml:space="preserve">3g. Data Synthesis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Narrative synthesis</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Approach</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A structured narrative synthesis following SWiM (Synthesis Without Meta-Analysis) reporting guidelines will be conducted for all outcomes regardless of whether meta-analysis is feasible. Studies will be grouped by CKD stage, GLP-1 RA agent, and outcome domain. Patterns, consistencies, and divergences will be described and interpreted in clinical context.</w:t>
            </w: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Meta-analysis</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Conditions for pooling</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80"/>
            </w:pPr>
            <w:r>
              <w:t xml:space="preserve">A random-effects meta-analysis (DerSimonian-Laird method) will be performed if ≥2 studies are sufficiently homogeneous in population (CKD stage), intervention (GLP-1 RA class), comparator (insulin), and outcome definition.</w:t>
            </w:r>
          </w:p>
          <w:p>
            <w:pPr>
              <w:spacing w:after="80"/>
            </w:pPr>
            <w:r>
              <w:rPr>
                <w:b/>
                <w:bCs/>
              </w:rPr>
              <w:t xml:space="preserve">Continuous outcomes: </w:t>
            </w:r>
            <w:r>
              <w:t xml:space="preserve">Reported as mean difference (MD) or standardized mean difference (SMD) with 95% confidence intervals.</w:t>
            </w:r>
          </w:p>
          <w:p>
            <w:pPr>
              <w:spacing w:after="80"/>
            </w:pPr>
            <w:r>
              <w:rPr>
                <w:b/>
                <w:bCs/>
              </w:rPr>
              <w:t xml:space="preserve">Binary/count outcomes: </w:t>
            </w:r>
            <w:r>
              <w:t xml:space="preserve">Reported as relative risk (RR) or incidence rate ratio (IRR) with 95% CIs.</w:t>
            </w:r>
          </w:p>
          <w:p>
            <w:pPr>
              <w:spacing w:after="80"/>
            </w:pPr>
            <w:r>
              <w:t xml:space="preserve">Analyses will be conducted in R (meta package) and RevMan 5.4.</w:t>
            </w:r>
          </w:p>
          <w:p>
            <w:pPr>
              <w:spacing w:after="0"/>
            </w:pP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Heterogeneity assessment</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80"/>
            </w:pPr>
            <w:r>
              <w:t xml:space="preserve">Statistical heterogeneity will be quantified using I² and the Cochran Chi² Q-test (threshold p &lt;0.10). I² interpretation: &lt;25% = low; 25–49% = moderate; 50–74% = substantial; ≥75% = considerable.</w:t>
            </w:r>
          </w:p>
          <w:p>
            <w:pPr>
              <w:spacing w:after="80"/>
            </w:pPr>
            <w:r>
              <w:t xml:space="preserve">Clinical heterogeneity will be assessed by comparing CKD stage, GLP-1 RA agent, and study population characteristics across included studies.</w:t>
            </w:r>
          </w:p>
          <w:p>
            <w:pPr>
              <w:spacing w:after="0"/>
            </w:pP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Subgroup analyses (pre-specified)</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80"/>
            </w:pPr>
            <w:r>
              <w:t xml:space="preserve">The following subgroup analyses will be conducted if sufficient data exist (≥2 studies per subgroup):</w:t>
            </w:r>
          </w:p>
          <w:p>
            <w:pPr>
              <w:pStyle w:val="ListParagraph"/>
              <w:numPr>
                <w:ilvl w:val="0"/>
                <w:numId w:val="2"/>
              </w:numPr>
              <w:spacing w:after="40"/>
            </w:pPr>
            <w:r>
              <w:rPr>
                <w:b/>
                <w:bCs/>
              </w:rPr>
              <w:t xml:space="preserve">CKD stage: </w:t>
            </w:r>
            <w:r>
              <w:t xml:space="preserve">Stage 3a–3b (eGFR 30–59) vs. Stage 4 (eGFR 15–29) vs. Stage 5 non-dialysis (eGFR &lt;15)</w:t>
            </w:r>
          </w:p>
          <w:p>
            <w:pPr>
              <w:pStyle w:val="ListParagraph"/>
              <w:numPr>
                <w:ilvl w:val="0"/>
                <w:numId w:val="2"/>
              </w:numPr>
              <w:spacing w:after="40"/>
            </w:pPr>
            <w:r>
              <w:rPr>
                <w:b/>
                <w:bCs/>
              </w:rPr>
              <w:t xml:space="preserve">GLP-1 RA agent class: </w:t>
            </w:r>
            <w:r>
              <w:t xml:space="preserve">Long-acting (semaglutide, liraglutide, dulaglutide) vs. short-acting (exenatide IR)</w:t>
            </w:r>
          </w:p>
          <w:p>
            <w:pPr>
              <w:pStyle w:val="ListParagraph"/>
              <w:numPr>
                <w:ilvl w:val="0"/>
                <w:numId w:val="2"/>
              </w:numPr>
              <w:spacing w:after="40"/>
            </w:pPr>
            <w:r>
              <w:rPr>
                <w:b/>
                <w:bCs/>
              </w:rPr>
              <w:t xml:space="preserve">Baseline HbA1c: </w:t>
            </w:r>
            <w:r>
              <w:t xml:space="preserve">&lt;8.0% vs. ≥8.0%</w:t>
            </w:r>
          </w:p>
          <w:p>
            <w:pPr>
              <w:pStyle w:val="ListParagraph"/>
              <w:numPr>
                <w:ilvl w:val="0"/>
                <w:numId w:val="2"/>
              </w:numPr>
              <w:spacing w:after="40"/>
            </w:pPr>
            <w:r>
              <w:rPr>
                <w:b/>
                <w:bCs/>
              </w:rPr>
              <w:t xml:space="preserve">Baseline eGFR: </w:t>
            </w:r>
            <w:r>
              <w:t xml:space="preserve">&lt;30 vs. 30–59 mL/min/1.73 m²</w:t>
            </w:r>
          </w:p>
          <w:p>
            <w:pPr>
              <w:pStyle w:val="ListParagraph"/>
              <w:numPr>
                <w:ilvl w:val="0"/>
                <w:numId w:val="2"/>
              </w:numPr>
              <w:spacing w:after="40"/>
            </w:pPr>
            <w:r>
              <w:rPr>
                <w:b/>
                <w:bCs/>
              </w:rPr>
              <w:t xml:space="preserve">Study design: </w:t>
            </w:r>
            <w:r>
              <w:t xml:space="preserve">RCT vs. prospective cohort</w:t>
            </w:r>
          </w:p>
          <w:p>
            <w:pPr>
              <w:spacing w:after="0"/>
            </w:pP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Sensitivity analyses (pre-specified)</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pStyle w:val="ListParagraph"/>
              <w:numPr>
                <w:ilvl w:val="0"/>
                <w:numId w:val="2"/>
              </w:numPr>
              <w:spacing w:after="40"/>
            </w:pPr>
            <w:r>
              <w:t xml:space="preserve">Excluding studies with overall high risk of bias (RoB 2.0 overall: high; ROBINS-I: serious or critical)</w:t>
            </w:r>
          </w:p>
          <w:p>
            <w:pPr>
              <w:pStyle w:val="ListParagraph"/>
              <w:numPr>
                <w:ilvl w:val="0"/>
                <w:numId w:val="2"/>
              </w:numPr>
              <w:spacing w:after="40"/>
            </w:pPr>
            <w:r>
              <w:t xml:space="preserve">Restricting to RCTs only</w:t>
            </w:r>
          </w:p>
          <w:p>
            <w:pPr>
              <w:pStyle w:val="ListParagraph"/>
              <w:numPr>
                <w:ilvl w:val="0"/>
                <w:numId w:val="2"/>
              </w:numPr>
              <w:spacing w:after="40"/>
            </w:pPr>
            <w:r>
              <w:t xml:space="preserve">Restricting to studies with ≥26 weeks (≥6 months) follow-up</w:t>
            </w:r>
          </w:p>
          <w:p>
            <w:pPr>
              <w:pStyle w:val="ListParagraph"/>
              <w:numPr>
                <w:ilvl w:val="0"/>
                <w:numId w:val="2"/>
              </w:numPr>
              <w:spacing w:after="40"/>
            </w:pPr>
            <w:r>
              <w:t xml:space="preserve">Excluding studies in which tirzepatide is the GLP-1 RA (dual GIP/GLP-1 RA mechanism)</w:t>
            </w:r>
          </w:p>
          <w:p>
            <w:pPr>
              <w:spacing w:after="0"/>
            </w:pP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Publication bias</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80"/>
            </w:pPr>
            <w:r>
              <w:t xml:space="preserve">If ≥10 studies contribute to a single meta-analytic pool, funnel plots will be produced for the primary outcome and assessed visually and statistically using Egger’s test (threshold p &lt;0.10 for asymmetry). The trim-and-fill method will be applied if asymmetry is detected.</w:t>
            </w:r>
          </w:p>
          <w:p>
            <w:pPr>
              <w:spacing w:after="80"/>
            </w:pPr>
            <w:r>
              <w:t xml:space="preserve">Comprehensive grey literature searching from the outset is the primary safeguard against publication bias.</w:t>
            </w:r>
          </w:p>
          <w:p>
            <w:pPr>
              <w:spacing w:after="0"/>
            </w:pP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Certainty of evidence (GRADE)</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80"/>
            </w:pPr>
            <w:r>
              <w:t xml:space="preserve">The GRADE (Grading of Recommendations Assessment, Development and Evaluation) framework will be applied to rate the certainty of evidence for each primary and secondary outcome. Evidence from RCTs will begin at "high" certainty and may be downgraded for: risk of bias, inconsistency, indirectness, imprecision, or publication bias. Evidence from observational studies will begin at "low" and may be upgraded for large magnitude of effect, dose-response gradient, or absence of residual confounding.</w:t>
            </w:r>
          </w:p>
          <w:p>
            <w:pPr>
              <w:spacing w:after="80"/>
            </w:pPr>
            <w:r>
              <w:t xml:space="preserve">Certainty ratings (High / Moderate / Low / Very Low) will be presented in a Summary of Findings (SoF) table produced using GRADEpro GDT.</w:t>
            </w:r>
          </w:p>
          <w:p>
            <w:pPr>
              <w:spacing w:after="0"/>
            </w:pPr>
          </w:p>
        </w:tc>
      </w:tr>
    </w:tbl>
    <w:p>
      <w:pPr>
        <w:spacing w:after="200"/>
      </w:pPr>
      <w:r>
        <w:t xml:space="preserve"/>
      </w:r>
    </w:p>
    <w:p>
      <w:pPr>
        <w:pStyle w:val="Heading2"/>
        <w:spacing w:after="120" w:before="260"/>
      </w:pPr>
      <w:r>
        <w:rPr>
          <w:b/>
          <w:bCs/>
        </w:rPr>
        <w:t xml:space="preserve">4. Reporting and Dissemination</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Reporting guideline</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80"/>
            </w:pPr>
            <w:r>
              <w:t xml:space="preserve">The completed review will be reported in full accordance with the PRISMA 2020 statement. The completed PRISMA 2020 checklist and the PRISMA 2020 flow diagram will be submitted as supplementary files.</w:t>
            </w:r>
          </w:p>
          <w:p>
            <w:pPr>
              <w:spacing w:after="80"/>
            </w:pPr>
            <w:r>
              <w:t xml:space="preserve">If a meta-analysis is conducted, PRISMA-NMA (for network meta-analysis) or MOOSE (Meta-Analysis of Observational Studies in Epidemiology) guidelines will be additionally applied as appropriate.</w:t>
            </w:r>
          </w:p>
          <w:p>
            <w:pPr>
              <w:spacing w:after="0"/>
            </w:pP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Protocol reporting</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This protocol is reported in accordance with PRISMA-P 2015 (Preferred Reporting Items for Systematic Review and Meta-Analysis Protocols). The PRISMA-P checklist is provided as Supplementary File 3.</w:t>
            </w: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Patient and public involvement</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[Describe any patient or public involvement in the design of the protocol, or state: "No patient or public involvement was sought in the design of this protocol."]</w:t>
            </w:r>
          </w:p>
        </w:tc>
      </w:tr>
      <w:tr>
        <w:tc>
          <w:tcPr>
            <w:tcW w:type="dxa" w:w="9360"/>
            <w:gridSpan w:val="2"/>
            <w:tcBorders>
              <w:top w:val="single" w:color="888888" w:sz="4"/>
              <w:left w:val="single" w:color="888888" w:sz="4"/>
              <w:bottom w:val="single" w:color="888888" w:sz="4"/>
              <w:right w:val="single" w:color="888888" w:sz="4"/>
            </w:tcBorders>
            <w:shd w:fill="BFBFBF" w:val="clear"/>
            <w:tcMar>
              <w:top w:type="dxa" w:w="80"/>
              <w:left w:type="dxa" w:w="140"/>
              <w:bottom w:type="dxa" w:w="80"/>
              <w:right w:type="dxa" w:w="140"/>
            </w:tcMar>
          </w:tcPr>
          <w:p>
            <w:pPr>
              <w:spacing w:after="0"/>
            </w:pPr>
            <w:r>
              <w:rPr>
                <w:b/>
                <w:bCs/>
              </w:rPr>
              <w:t xml:space="preserve">Dissemination plan</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pStyle w:val="ListParagraph"/>
              <w:numPr>
                <w:ilvl w:val="0"/>
                <w:numId w:val="2"/>
              </w:numPr>
              <w:spacing w:after="40"/>
            </w:pPr>
            <w:r>
              <w:t xml:space="preserve">Submission to a peer-reviewed journal in endocrinology, nephrology, or evidence synthesis (e.g., Diabetes Care, JASN, Systematic Reviews)</w:t>
            </w:r>
          </w:p>
          <w:p>
            <w:pPr>
              <w:pStyle w:val="ListParagraph"/>
              <w:numPr>
                <w:ilvl w:val="0"/>
                <w:numId w:val="2"/>
              </w:numPr>
              <w:spacing w:after="40"/>
            </w:pPr>
            <w:r>
              <w:t xml:space="preserve">Presentation of results at ADA Scientific Sessions and ASN Kidney Week</w:t>
            </w:r>
          </w:p>
          <w:p>
            <w:pPr>
              <w:pStyle w:val="ListParagraph"/>
              <w:numPr>
                <w:ilvl w:val="0"/>
                <w:numId w:val="2"/>
              </w:numPr>
              <w:spacing w:after="40"/>
            </w:pPr>
            <w:r>
              <w:t xml:space="preserve">Lay summary and policy brief for submission to relevant guideline committees (e.g., KDIGO Diabetes Work Group, ADA Standards of Medical Care in Diabetes)</w:t>
            </w:r>
          </w:p>
          <w:p>
            <w:pPr>
              <w:pStyle w:val="ListParagraph"/>
              <w:numPr>
                <w:ilvl w:val="0"/>
                <w:numId w:val="2"/>
              </w:numPr>
              <w:spacing w:after="40"/>
            </w:pPr>
            <w:r>
              <w:t xml:space="preserve">All data extraction files, screening decisions, risk of bias assessments, and statistical analysis code will be deposited in an open repository (OSF: osf.io or Zenodo) on publication</w:t>
            </w:r>
          </w:p>
          <w:p>
            <w:pPr>
              <w:spacing w:after="0"/>
            </w:pPr>
          </w:p>
        </w:tc>
      </w:tr>
    </w:tbl>
    <w:p>
      <w:pPr>
        <w:spacing w:after="200"/>
      </w:pPr>
      <w:r>
        <w:t xml:space="preserve"/>
      </w:r>
    </w:p>
    <w:p>
      <w:pPr>
        <w:pStyle w:val="Heading2"/>
        <w:spacing w:after="120" w:before="260"/>
      </w:pPr>
      <w:r>
        <w:rPr>
          <w:b/>
          <w:bCs/>
        </w:rPr>
        <w:t xml:space="preserve">5. Supplementary Files (to be submitted with completed review)</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Supplementary File 1</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Full search strategies for all databases (MEDLINE, Embase, CENTRAL, CINAHL, Web of Science) with dates of execution</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Supplementary File 2</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Data extraction form (Covidence template)</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Supplementary File 3</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PRISMA-P 2015 checklist</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Supplementary File 4</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PRESS peer review form for search strategy</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Supplementary File 5</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List of excluded studies with primary reason for exclusion</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Supplementary File 6</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Risk of bias assessment results (RoB 2.0 and ROBINS-I domain tables)</w:t>
            </w:r>
          </w:p>
        </w:tc>
      </w:tr>
      <w:tr>
        <w:tc>
          <w:tcPr>
            <w:tcW w:type="dxa" w:w="2500"/>
            <w:tcBorders>
              <w:top w:val="single" w:color="888888" w:sz="4"/>
              <w:left w:val="single" w:color="888888" w:sz="4"/>
              <w:bottom w:val="single" w:color="888888" w:sz="4"/>
              <w:right w:val="single" w:color="888888" w:sz="4"/>
            </w:tcBorders>
            <w:shd w:fill="EBEBEB" w:val="clear"/>
            <w:tcMar>
              <w:top w:type="dxa" w:w="100"/>
              <w:left w:type="dxa" w:w="140"/>
              <w:bottom w:type="dxa" w:w="100"/>
              <w:right w:type="dxa" w:w="140"/>
            </w:tcMar>
          </w:tcPr>
          <w:p>
            <w:pPr>
              <w:spacing w:after="0"/>
            </w:pPr>
            <w:r>
              <w:rPr>
                <w:b/>
                <w:bCs/>
              </w:rPr>
              <w:t xml:space="preserve">Supplementary File 7</w:t>
            </w:r>
          </w:p>
        </w:tc>
        <w:tc>
          <w:tcPr>
            <w:tcW w:type="dxa" w:w="6860"/>
            <w:tcBorders>
              <w:top w:val="single" w:color="888888" w:sz="4"/>
              <w:left w:val="single" w:color="888888" w:sz="4"/>
              <w:bottom w:val="single" w:color="888888" w:sz="4"/>
              <w:right w:val="single" w:color="888888" w:sz="4"/>
            </w:tcBorders>
            <w:tcMar>
              <w:top w:type="dxa" w:w="100"/>
              <w:left w:type="dxa" w:w="140"/>
              <w:bottom w:type="dxa" w:w="100"/>
              <w:right w:type="dxa" w:w="140"/>
            </w:tcMar>
          </w:tcPr>
          <w:p>
            <w:pPr>
              <w:spacing w:after="0"/>
            </w:pPr>
            <w:r>
              <w:t xml:space="preserve">GRADE Summary of Findings tables (GRADEpro GDT export)</w:t>
            </w:r>
          </w:p>
        </w:tc>
      </w:tr>
    </w:tbl>
    <w:p>
      <w:pPr>
        <w:spacing w:after="200"/>
      </w:pPr>
      <w:r>
        <w:t xml:space="preserve"/>
      </w:r>
    </w:p>
    <w:p>
      <w:pPr>
        <w:pStyle w:val="Heading2"/>
        <w:spacing w:after="120" w:before="260"/>
      </w:pPr>
      <w:r>
        <w:rPr>
          <w:b/>
          <w:bCs/>
        </w:rPr>
        <w:t xml:space="preserve">6. Key References</w:t>
      </w:r>
    </w:p>
    <w:p>
      <w:pPr>
        <w:spacing w:after="80"/>
      </w:pPr>
      <w:r>
        <w:t xml:space="preserve"/>
      </w:r>
    </w:p>
    <w:p>
      <w:pPr>
        <w:spacing w:after="140"/>
      </w:pPr>
      <w:r>
        <w:rPr>
          <w:i/>
          <w:iCs/>
        </w:rPr>
        <w:t xml:space="preserve">References will be formatted according to the target journal style. Key methodological references to include:</w:t>
      </w:r>
      <w:r>
        <w:t xml:space="preserve"/>
      </w:r>
    </w:p>
    <w:p>
      <w:pPr>
        <w:spacing w:after="60"/>
      </w:pPr>
      <w:r>
        <w:t xml:space="preserve"/>
      </w:r>
    </w:p>
    <w:p>
      <w:pPr>
        <w:spacing w:after="140"/>
      </w:pPr>
      <w:r>
        <w:t xml:space="preserve">Higgins JPT, Thomas J, Chandler J, et al. (eds). Cochrane Handbook for Systematic Reviews of Interventions, Version 6.4. Cochrane, 2023.</w:t>
      </w:r>
    </w:p>
    <w:p>
      <w:pPr>
        <w:spacing w:after="140"/>
      </w:pPr>
      <w:r>
        <w:t xml:space="preserve">Page MJ, McKenzie JE, Bossuyt PM, et al. The PRISMA 2020 statement: an updated guideline for reporting systematic reviews. BMJ. 2021;372:n71.</w:t>
      </w:r>
    </w:p>
    <w:p>
      <w:pPr>
        <w:spacing w:after="140"/>
      </w:pPr>
      <w:r>
        <w:t xml:space="preserve">Shamseer L, Moher D, Clarke M, et al.; PRISMA-P Group. Preferred reporting items for systematic review and meta-analysis protocols (PRISMA-P) 2015: elaboration and explanation. BMJ. 2015;350:g7647.</w:t>
      </w:r>
    </w:p>
    <w:p>
      <w:pPr>
        <w:spacing w:after="140"/>
      </w:pPr>
      <w:r>
        <w:t xml:space="preserve">KDIGO 2022 Clinical Practice Guideline for Diabetes Management in Chronic Kidney Disease. Kidney Int. 2022;102(5S):S1–S127.</w:t>
      </w:r>
    </w:p>
    <w:p>
      <w:pPr>
        <w:spacing w:after="140"/>
      </w:pPr>
      <w:r>
        <w:t xml:space="preserve">Marso SP, Daniels GH, Brown-Frandsen K, et al.; LEADER Investigators. Liraglutide and Cardiovascular Outcomes in Type 2 Diabetes. N Engl J Med. 2016;375:311–322.</w:t>
      </w:r>
    </w:p>
    <w:p>
      <w:pPr>
        <w:spacing w:after="140"/>
      </w:pPr>
      <w:r>
        <w:t xml:space="preserve">Higgins JPT, Savović J, Page MJ, et al. Revised Cochrane risk-of-bias tool for randomized trials (RoB 2). Guidance document, 2019.</w:t>
      </w:r>
    </w:p>
    <w:p>
      <w:pPr>
        <w:spacing w:after="140"/>
      </w:pPr>
      <w:r>
        <w:t xml:space="preserve">[Additional references to be added for each included study and for all methodological tools cited above …]</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000000"/>
      <w:sz w:val="32"/>
      <w:szCs w:val="32"/>
    </w:rPr>
  </w:style>
  <w:style w:type="paragraph" w:styleId="Heading2">
    <w:name w:val="Heading 2"/>
    <w:basedOn w:val="Normal"/>
    <w:next w:val="Normal"/>
    <w:qFormat/>
    <w:pPr>
      <w:spacing w:after="120" w:before="260"/>
      <w:outlineLvl w:val="1"/>
    </w:pPr>
    <w:rPr>
      <w:rFonts w:ascii="Arial" w:cs="Arial" w:eastAsia="Arial" w:hAnsi="Arial"/>
      <w:b/>
      <w:bCs/>
      <w:color w:val="000000"/>
      <w:sz w:val="26"/>
      <w:szCs w:val="26"/>
    </w:rPr>
  </w:style>
  <w:style w:type="paragraph" w:styleId="Heading3">
    <w:name w:val="Heading 3"/>
    <w:basedOn w:val="Normal"/>
    <w:next w:val="Normal"/>
    <w:qFormat/>
    <w:pPr>
      <w:spacing w:after="80" w:before="180"/>
      <w:outlineLvl w:val="2"/>
    </w:pPr>
    <w:rPr>
      <w:rFonts w:ascii="Arial" w:cs="Arial" w:eastAsia="Arial" w:hAnsi="Arial"/>
      <w:b/>
      <w:bCs/>
      <w:color w:val="00000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2026-06-23T11:47:45.993Z</dcterms:created>
  <dcterms:modified xsi:type="dcterms:W3CDTF">2026-06-23T11:47:46.004Z</dcterms:modified>
</cp:coreProperties>
</file>

<file path=docProps/custom.xml><?xml version="1.0" encoding="utf-8"?>
<Properties xmlns="http://schemas.openxmlformats.org/officeDocument/2006/custom-properties" xmlns:vt="http://schemas.openxmlformats.org/officeDocument/2006/docPropsVTypes"/>
</file>