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CONSORT Flow Diagram</w:t>
      </w:r>
    </w:p>
    <w:p>
      <w:pPr>
        <w:pStyle w:val="Heading2"/>
      </w:pPr>
      <w:r>
        <w:t xml:space="preserve">Wigglypigglinib Phase II Randomized Controlled Trial</w:t>
      </w:r>
    </w:p>
    <w:p>
      <w:pPr>
        <w:spacing w:after="200" w:before="200"/>
      </w:pPr>
      <w:r>
        <w:t xml:space="preserve"/>
      </w:r>
    </w:p>
    <w:p>
      <w:pPr>
        <w:spacing w:after="200" w:before="200"/>
        <w:jc w:val="center"/>
      </w:pPr>
      <w:r>
        <w:rPr>
          <w:rFonts w:ascii="Courier New" w:cs="Courier New" w:eastAsia="Courier New" w:hAnsi="Courier New"/>
          <w:b/>
          <w:bCs/>
          <w:sz w:val="22"/>
          <w:szCs w:val="22"/>
        </w:rPr>
        <w:t xml:space="preserve">ENROLLMENT</w:t>
      </w:r>
    </w:p>
    <w:p>
      <w:pPr>
        <w:spacing w:line="240"/>
        <w:jc w:val="center"/>
      </w:pPr>
      <w:r>
        <w:rPr>
          <w:rFonts w:ascii="Courier New" w:cs="Courier New" w:eastAsia="Courier New" w:hAnsi="Courier New"/>
          <w:sz w:val="20"/>
          <w:szCs w:val="20"/>
        </w:rPr>
        <w:t xml:space="preserve">Assessed for eligibility
n = 487</w:t>
      </w:r>
    </w:p>
    <w:p>
      <w:pPr>
        <w:spacing w:after="120" w:before="120" w:line="240"/>
        <w:jc w:val="center"/>
      </w:pPr>
      <w:r>
        <w:rPr>
          <w:rFonts w:ascii="Courier New" w:cs="Courier New" w:eastAsia="Courier New" w:hAnsi="Courier New"/>
          <w:sz w:val="20"/>
          <w:szCs w:val="20"/>
        </w:rPr>
        <w:t xml:space="preserve">Excluded (n=87)
Reasons for exclusion:
• Did not meet inclusion criteria (n=42)
• Refused to participate (n=31)
• Active infection (n=14)</w:t>
      </w:r>
    </w:p>
    <w:p>
      <w:pPr>
        <w:spacing w:after="200" w:before="200" w:line="240"/>
        <w:jc w:val="center"/>
      </w:pPr>
      <w:r>
        <w:rPr>
          <w:rFonts w:ascii="Courier New" w:cs="Courier New" w:eastAsia="Courier New" w:hAnsi="Courier New"/>
          <w:b/>
          <w:bCs/>
          <w:sz w:val="22"/>
          <w:szCs w:val="22"/>
        </w:rPr>
        <w:t xml:space="preserve">Randomized (n=400)</w:t>
      </w:r>
    </w:p>
    <w:p>
      <w:pPr>
        <w:spacing w:after="100" w:before="100" w:line="240"/>
        <w:jc w:val="center"/>
      </w:pPr>
      <w:r>
        <w:rPr>
          <w:rFonts w:ascii="Courier New" w:cs="Courier New" w:eastAsia="Courier New" w:hAnsi="Courier New"/>
          <w:b/>
          <w:bCs/>
          <w:sz w:val="20"/>
          <w:szCs w:val="20"/>
        </w:rPr>
        <w:t xml:space="preserve">Allocated to                           Allocated to
Wigglypigglinib                      Placebo
(n=200)                               (n=200)</w:t>
      </w:r>
    </w:p>
    <w:p>
      <w:pPr>
        <w:spacing w:after="100" w:before="100" w:line="240"/>
        <w:jc w:val="center"/>
      </w:pPr>
      <w:r>
        <w:rPr>
          <w:rFonts w:ascii="Courier New" w:cs="Courier New" w:eastAsia="Courier New" w:hAnsi="Courier New"/>
          <w:sz w:val="19"/>
          <w:szCs w:val="19"/>
        </w:rPr>
        <w:t xml:space="preserve">Received allocated                   Received allocated
intervention (n=198)                intervention (n=199)
Did not receive (n=2)               Did not receive (n=1)
• Withdrew consent (n=1)            • Severe rash (n=1)
• Severe hepatotoxicity (n=1)</w:t>
      </w:r>
    </w:p>
    <w:p>
      <w:pPr>
        <w:spacing w:after="200" w:before="200" w:line="240"/>
        <w:jc w:val="center"/>
      </w:pPr>
      <w:r>
        <w:rPr>
          <w:rFonts w:ascii="Courier New" w:cs="Courier New" w:eastAsia="Courier New" w:hAnsi="Courier New"/>
          <w:b/>
          <w:bCs/>
          <w:sz w:val="22"/>
          <w:szCs w:val="22"/>
        </w:rPr>
        <w:t xml:space="preserve">FOLLOW-UP (Month 6)</w:t>
      </w:r>
    </w:p>
    <w:p>
      <w:pPr>
        <w:spacing w:after="100" w:before="100" w:line="240"/>
        <w:jc w:val="center"/>
      </w:pPr>
      <w:r>
        <w:rPr>
          <w:rFonts w:ascii="Courier New" w:cs="Courier New" w:eastAsia="Courier New" w:hAnsi="Courier New"/>
          <w:sz w:val="19"/>
          <w:szCs w:val="19"/>
        </w:rPr>
        <w:t xml:space="preserve">Lost to follow-up (n=14)            Lost to follow-up (n=18)
• Withdrew consent (n=8)            • Withdrew consent (n=11)
• Moved away (n=4)                  • Moved away (n=5)
• Unable to contact (n=2)           • Unable to contact (n=2)
Continued treatment: n=184          Continued treatment: n=181</w:t>
      </w:r>
    </w:p>
    <w:p>
      <w:pPr>
        <w:spacing w:after="200" w:before="200" w:line="240"/>
        <w:jc w:val="center"/>
      </w:pPr>
      <w:r>
        <w:rPr>
          <w:rFonts w:ascii="Courier New" w:cs="Courier New" w:eastAsia="Courier New" w:hAnsi="Courier New"/>
          <w:b/>
          <w:bCs/>
          <w:sz w:val="22"/>
          <w:szCs w:val="22"/>
        </w:rPr>
        <w:t xml:space="preserve">ANALYSIS (Primary endpoint at Month 12)</w:t>
      </w:r>
    </w:p>
    <w:p>
      <w:pPr>
        <w:spacing w:after="200" w:before="100" w:line="240"/>
        <w:jc w:val="center"/>
      </w:pPr>
      <w:r>
        <w:rPr>
          <w:rFonts w:ascii="Courier New" w:cs="Courier New" w:eastAsia="Courier New" w:hAnsi="Courier New"/>
          <w:sz w:val="19"/>
          <w:szCs w:val="19"/>
        </w:rPr>
        <w:t xml:space="preserve">Analyzed for primary                 Analyzed for primary
outcome (n=200)                     outcome (n=200)
Included in ITT analysis             Included in ITT analysis
Complete response: n=78              Complete response: n=31
Partial response: n=56               Partial response: n=28
Stable disease: n=42                 Stable disease: n=89
Progressive disease: n=24            Progressive disease: n=52</w:t>
      </w:r>
    </w:p>
    <w:p>
      <w:pPr>
        <w:spacing w:after="200" w:before="400"/>
      </w:pPr>
      <w:r>
        <w:rPr>
          <w:sz w:val="20"/>
          <w:szCs w:val="20"/>
        </w:rPr>
        <w:t xml:space="preserve">ITT = Intention-to-treat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F497D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1F497D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2026-05-24T12:30:32.477Z</dcterms:created>
  <dcterms:modified xsi:type="dcterms:W3CDTF">2026-05-24T12:30:32.491Z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